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AFCA" w14:textId="77777777" w:rsidR="00CE7BFE" w:rsidRPr="008E2252" w:rsidRDefault="00CE7BFE" w:rsidP="00CE7BFE">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5A17AD33" w14:textId="171A66B2" w:rsidR="00CE7BFE" w:rsidRPr="008E2252" w:rsidRDefault="00CE7BFE" w:rsidP="00CE7BFE">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sidR="007C7F9B">
        <w:rPr>
          <w:rFonts w:ascii="Roboto" w:hAnsi="Roboto"/>
          <w:b/>
          <w:bCs/>
          <w:color w:val="000000" w:themeColor="text1"/>
          <w:sz w:val="28"/>
          <w:szCs w:val="28"/>
        </w:rPr>
        <w:t>February 10</w:t>
      </w:r>
      <w:r w:rsidR="003A4E79">
        <w:rPr>
          <w:rFonts w:ascii="Roboto" w:hAnsi="Roboto"/>
          <w:b/>
          <w:bCs/>
          <w:color w:val="000000" w:themeColor="text1"/>
          <w:sz w:val="28"/>
          <w:szCs w:val="28"/>
        </w:rPr>
        <w:t>, 2025</w:t>
      </w:r>
    </w:p>
    <w:p w14:paraId="595C6F0B" w14:textId="77777777" w:rsidR="00CE7BFE" w:rsidRPr="008E2252" w:rsidRDefault="00CE7BFE" w:rsidP="00CE7BFE">
      <w:pPr>
        <w:spacing w:line="240" w:lineRule="auto"/>
        <w:rPr>
          <w:rFonts w:ascii="Roboto" w:hAnsi="Roboto"/>
          <w:color w:val="000000" w:themeColor="text1"/>
        </w:rPr>
      </w:pPr>
    </w:p>
    <w:p w14:paraId="4A1CD9F4" w14:textId="20942C9D" w:rsidR="00CE7BFE" w:rsidRPr="00381889" w:rsidRDefault="00CE7BFE" w:rsidP="00CE7BFE">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w:t>
      </w:r>
      <w:r w:rsidR="00006BC3">
        <w:rPr>
          <w:rFonts w:ascii="Roboto" w:hAnsi="Roboto"/>
          <w:color w:val="000000" w:themeColor="text1"/>
          <w:sz w:val="24"/>
          <w:szCs w:val="24"/>
        </w:rPr>
        <w:t xml:space="preserve">Treasurer </w:t>
      </w:r>
      <w:r w:rsidR="007C7F9B">
        <w:rPr>
          <w:rFonts w:ascii="Roboto" w:hAnsi="Roboto"/>
          <w:color w:val="000000" w:themeColor="text1"/>
          <w:sz w:val="24"/>
          <w:szCs w:val="24"/>
        </w:rPr>
        <w:t>Mason Corey</w:t>
      </w:r>
      <w:r w:rsidR="00006BC3">
        <w:rPr>
          <w:rFonts w:ascii="Roboto" w:hAnsi="Roboto"/>
          <w:color w:val="000000" w:themeColor="text1"/>
          <w:sz w:val="24"/>
          <w:szCs w:val="24"/>
        </w:rPr>
        <w:t xml:space="preserve">, </w:t>
      </w:r>
      <w:r w:rsidR="007C7F9B">
        <w:rPr>
          <w:rFonts w:ascii="Roboto" w:hAnsi="Roboto"/>
          <w:color w:val="000000" w:themeColor="text1"/>
          <w:sz w:val="24"/>
          <w:szCs w:val="24"/>
        </w:rPr>
        <w:t xml:space="preserve">Christine Austin, </w:t>
      </w:r>
      <w:r w:rsidR="00006BC3">
        <w:rPr>
          <w:rFonts w:ascii="Roboto" w:hAnsi="Roboto"/>
          <w:color w:val="000000" w:themeColor="text1"/>
          <w:sz w:val="24"/>
          <w:szCs w:val="24"/>
        </w:rPr>
        <w:t>Scott Boykin,</w:t>
      </w:r>
      <w:r w:rsidR="007C7F9B">
        <w:rPr>
          <w:rFonts w:ascii="Roboto" w:hAnsi="Roboto"/>
          <w:color w:val="000000" w:themeColor="text1"/>
          <w:sz w:val="24"/>
          <w:szCs w:val="24"/>
        </w:rPr>
        <w:t xml:space="preserve"> Doug Craig,</w:t>
      </w:r>
      <w:r w:rsidR="00006BC3">
        <w:rPr>
          <w:rFonts w:ascii="Roboto" w:hAnsi="Roboto"/>
          <w:color w:val="000000" w:themeColor="text1"/>
          <w:sz w:val="24"/>
          <w:szCs w:val="24"/>
        </w:rPr>
        <w:t xml:space="preserve"> </w:t>
      </w:r>
      <w:r>
        <w:rPr>
          <w:rFonts w:ascii="Roboto" w:hAnsi="Roboto"/>
          <w:color w:val="000000" w:themeColor="text1"/>
          <w:sz w:val="24"/>
          <w:szCs w:val="24"/>
        </w:rPr>
        <w:t xml:space="preserve">Warren Cunningham, </w:t>
      </w:r>
      <w:r w:rsidR="00006BC3">
        <w:rPr>
          <w:rFonts w:ascii="Roboto" w:hAnsi="Roboto"/>
          <w:color w:val="000000" w:themeColor="text1"/>
          <w:sz w:val="24"/>
          <w:szCs w:val="24"/>
        </w:rPr>
        <w:t xml:space="preserve">Danny Dolan, </w:t>
      </w:r>
      <w:r w:rsidR="00BA143E">
        <w:rPr>
          <w:rFonts w:ascii="Roboto" w:hAnsi="Roboto"/>
          <w:color w:val="000000" w:themeColor="text1"/>
          <w:sz w:val="24"/>
          <w:szCs w:val="24"/>
        </w:rPr>
        <w:t xml:space="preserve">Marc Douglass, </w:t>
      </w:r>
      <w:r>
        <w:rPr>
          <w:rFonts w:ascii="Roboto" w:hAnsi="Roboto"/>
          <w:color w:val="000000" w:themeColor="text1"/>
          <w:sz w:val="24"/>
          <w:szCs w:val="24"/>
        </w:rPr>
        <w:t>Andrea Holt, Mitchell Johnson,</w:t>
      </w:r>
      <w:r w:rsidR="00437F9E">
        <w:rPr>
          <w:rFonts w:ascii="Roboto" w:hAnsi="Roboto"/>
          <w:color w:val="000000" w:themeColor="text1"/>
          <w:sz w:val="24"/>
          <w:szCs w:val="24"/>
        </w:rPr>
        <w:t xml:space="preserve"> </w:t>
      </w:r>
      <w:r>
        <w:rPr>
          <w:rFonts w:ascii="Roboto" w:hAnsi="Roboto"/>
          <w:color w:val="000000" w:themeColor="text1"/>
          <w:sz w:val="24"/>
          <w:szCs w:val="24"/>
        </w:rPr>
        <w:t>Colin McKinney, Mark Mosley, Steve Phillips, William Richards,</w:t>
      </w:r>
      <w:r w:rsidR="00006BC3">
        <w:rPr>
          <w:rFonts w:ascii="Roboto" w:hAnsi="Roboto"/>
          <w:color w:val="000000" w:themeColor="text1"/>
          <w:sz w:val="24"/>
          <w:szCs w:val="24"/>
        </w:rPr>
        <w:t xml:space="preserve"> Victoria Salvia,</w:t>
      </w:r>
      <w:r w:rsidR="00F94273">
        <w:rPr>
          <w:rFonts w:ascii="Roboto" w:hAnsi="Roboto"/>
          <w:color w:val="000000" w:themeColor="text1"/>
          <w:sz w:val="24"/>
          <w:szCs w:val="24"/>
        </w:rPr>
        <w:t xml:space="preserve"> </w:t>
      </w:r>
      <w:r w:rsidR="00DA56EF">
        <w:rPr>
          <w:rFonts w:ascii="Roboto" w:hAnsi="Roboto"/>
          <w:color w:val="000000" w:themeColor="text1"/>
          <w:sz w:val="24"/>
          <w:szCs w:val="24"/>
        </w:rPr>
        <w:t xml:space="preserve">Jim Sheehan, </w:t>
      </w:r>
      <w:r w:rsidR="007C7F9B">
        <w:rPr>
          <w:rFonts w:ascii="Roboto" w:hAnsi="Roboto"/>
          <w:color w:val="000000" w:themeColor="text1"/>
          <w:sz w:val="24"/>
          <w:szCs w:val="24"/>
        </w:rPr>
        <w:t xml:space="preserve">Zach Varnell, </w:t>
      </w:r>
      <w:r>
        <w:rPr>
          <w:rFonts w:ascii="Roboto" w:hAnsi="Roboto"/>
          <w:color w:val="000000" w:themeColor="text1"/>
          <w:sz w:val="24"/>
          <w:szCs w:val="24"/>
        </w:rPr>
        <w:t>Laura Williams</w:t>
      </w:r>
    </w:p>
    <w:p w14:paraId="4FE24121" w14:textId="17CEA48E" w:rsidR="00CE7BFE" w:rsidRPr="00A74EA0" w:rsidRDefault="00CE7BFE" w:rsidP="00CE7BFE">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00265A5D" w:rsidRPr="00265A5D">
        <w:rPr>
          <w:rFonts w:ascii="Roboto" w:hAnsi="Roboto"/>
          <w:color w:val="000000" w:themeColor="text1"/>
          <w:sz w:val="24"/>
          <w:szCs w:val="24"/>
        </w:rPr>
        <w:t>David Barker, Brad Lindborg</w:t>
      </w:r>
    </w:p>
    <w:p w14:paraId="35E96083" w14:textId="77777777" w:rsidR="00CE7BFE" w:rsidRDefault="00CE7BFE" w:rsidP="00CE7BFE">
      <w:pPr>
        <w:spacing w:line="240" w:lineRule="auto"/>
        <w:rPr>
          <w:rFonts w:ascii="Roboto" w:hAnsi="Roboto"/>
          <w:b/>
          <w:bCs/>
          <w:color w:val="000000" w:themeColor="text1"/>
          <w:sz w:val="24"/>
          <w:szCs w:val="24"/>
        </w:rPr>
      </w:pPr>
    </w:p>
    <w:p w14:paraId="55284D0B" w14:textId="7786B130" w:rsidR="00CE7BFE" w:rsidRPr="008B7EE0" w:rsidRDefault="00CE7BFE" w:rsidP="00CE7BFE">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sidR="003A4E79">
        <w:rPr>
          <w:rFonts w:ascii="Roboto" w:eastAsia="Calibri" w:hAnsi="Roboto" w:cs="Arial"/>
          <w:sz w:val="24"/>
          <w:szCs w:val="24"/>
        </w:rPr>
        <w:t xml:space="preserve">, </w:t>
      </w:r>
      <w:r w:rsidR="007C7F9B">
        <w:rPr>
          <w:rFonts w:ascii="Roboto" w:eastAsia="Calibri" w:hAnsi="Roboto" w:cs="Arial"/>
          <w:sz w:val="24"/>
          <w:szCs w:val="24"/>
        </w:rPr>
        <w:t>February 10</w:t>
      </w:r>
      <w:r w:rsidR="003A4E79">
        <w:rPr>
          <w:rFonts w:ascii="Roboto" w:eastAsia="Calibri" w:hAnsi="Roboto" w:cs="Arial"/>
          <w:sz w:val="24"/>
          <w:szCs w:val="24"/>
        </w:rPr>
        <w:t>, 2025,</w:t>
      </w:r>
      <w:r w:rsidRPr="001B2D43">
        <w:rPr>
          <w:rFonts w:ascii="Roboto" w:eastAsia="Calibri" w:hAnsi="Roboto" w:cs="Arial"/>
          <w:sz w:val="24"/>
          <w:szCs w:val="24"/>
        </w:rPr>
        <w:t xml:space="preserve"> at </w:t>
      </w:r>
      <w:r w:rsidRPr="00260166">
        <w:rPr>
          <w:rFonts w:ascii="Roboto" w:eastAsia="Calibri" w:hAnsi="Roboto" w:cs="Arial"/>
          <w:sz w:val="24"/>
          <w:szCs w:val="24"/>
        </w:rPr>
        <w:t>7:</w:t>
      </w:r>
      <w:r w:rsidR="00260166">
        <w:rPr>
          <w:rFonts w:ascii="Roboto" w:eastAsia="Calibri" w:hAnsi="Roboto" w:cs="Arial"/>
          <w:sz w:val="24"/>
          <w:szCs w:val="24"/>
        </w:rPr>
        <w:t>00</w:t>
      </w:r>
      <w:r w:rsidRPr="001B2D43">
        <w:rPr>
          <w:rFonts w:ascii="Roboto" w:eastAsia="Calibri" w:hAnsi="Roboto" w:cs="Arial"/>
          <w:sz w:val="24"/>
          <w:szCs w:val="24"/>
        </w:rPr>
        <w:t xml:space="preserve"> PM.</w:t>
      </w:r>
    </w:p>
    <w:p w14:paraId="1D18D019" w14:textId="7DC31048" w:rsidR="007C7F9B" w:rsidRDefault="00932E2E"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Brian Allen moved adoption of </w:t>
      </w:r>
      <w:r w:rsidRPr="00932E2E">
        <w:rPr>
          <w:rFonts w:ascii="Roboto" w:hAnsi="Roboto"/>
          <w:i/>
          <w:iCs/>
          <w:color w:val="000000" w:themeColor="text1"/>
          <w:sz w:val="24"/>
          <w:szCs w:val="24"/>
        </w:rPr>
        <w:t xml:space="preserve">A Resolution </w:t>
      </w:r>
      <w:r w:rsidRPr="00932E2E">
        <w:rPr>
          <w:rFonts w:ascii="Roboto" w:hAnsi="Roboto"/>
          <w:i/>
          <w:iCs/>
          <w:color w:val="000000" w:themeColor="text1"/>
          <w:sz w:val="24"/>
          <w:szCs w:val="24"/>
        </w:rPr>
        <w:t xml:space="preserve">to Support the Defend the Guard Act of 2025 </w:t>
      </w:r>
      <w:r>
        <w:rPr>
          <w:rFonts w:ascii="Roboto" w:hAnsi="Roboto"/>
          <w:i/>
          <w:iCs/>
          <w:color w:val="000000" w:themeColor="text1"/>
          <w:sz w:val="24"/>
          <w:szCs w:val="24"/>
        </w:rPr>
        <w:t>–</w:t>
      </w:r>
      <w:r w:rsidRPr="00932E2E">
        <w:rPr>
          <w:rFonts w:ascii="Roboto" w:hAnsi="Roboto"/>
          <w:i/>
          <w:iCs/>
          <w:color w:val="000000" w:themeColor="text1"/>
          <w:sz w:val="24"/>
          <w:szCs w:val="24"/>
        </w:rPr>
        <w:t xml:space="preserve"> 2026</w:t>
      </w:r>
      <w:r>
        <w:rPr>
          <w:rFonts w:ascii="Roboto" w:hAnsi="Roboto"/>
          <w:color w:val="000000" w:themeColor="text1"/>
          <w:sz w:val="24"/>
          <w:szCs w:val="24"/>
        </w:rPr>
        <w:t>. The motion was adopted.</w:t>
      </w:r>
    </w:p>
    <w:p w14:paraId="1A42E987" w14:textId="41E76A53" w:rsidR="00AF3DE1" w:rsidRDefault="00AF3DE1" w:rsidP="004A794D">
      <w:pPr>
        <w:spacing w:line="240" w:lineRule="auto"/>
        <w:rPr>
          <w:rFonts w:ascii="Roboto" w:hAnsi="Roboto"/>
          <w:color w:val="000000" w:themeColor="text1"/>
          <w:sz w:val="24"/>
          <w:szCs w:val="24"/>
        </w:rPr>
      </w:pPr>
      <w:r>
        <w:rPr>
          <w:rFonts w:ascii="Roboto" w:hAnsi="Roboto"/>
          <w:color w:val="000000" w:themeColor="text1"/>
          <w:sz w:val="24"/>
          <w:szCs w:val="24"/>
        </w:rPr>
        <w:t>Chairman Gerred Bell</w:t>
      </w:r>
      <w:r w:rsidR="00607F1E">
        <w:rPr>
          <w:rFonts w:ascii="Roboto" w:hAnsi="Roboto"/>
          <w:color w:val="000000" w:themeColor="text1"/>
          <w:sz w:val="24"/>
          <w:szCs w:val="24"/>
        </w:rPr>
        <w:t>, Vice Chairman Brian Allen, Executive Director Elizabeth Melton</w:t>
      </w:r>
      <w:r w:rsidR="00265A5D">
        <w:rPr>
          <w:rFonts w:ascii="Roboto" w:hAnsi="Roboto"/>
          <w:color w:val="000000" w:themeColor="text1"/>
          <w:sz w:val="24"/>
          <w:szCs w:val="24"/>
        </w:rPr>
        <w:t>, Secretary Zane Placie,</w:t>
      </w:r>
      <w:r w:rsidR="00DF43AF">
        <w:rPr>
          <w:rFonts w:ascii="Roboto" w:hAnsi="Roboto"/>
          <w:color w:val="000000" w:themeColor="text1"/>
          <w:sz w:val="24"/>
          <w:szCs w:val="24"/>
        </w:rPr>
        <w:t xml:space="preserve"> and Treasurer Mason Corey</w:t>
      </w:r>
      <w:r w:rsidR="00265A5D">
        <w:rPr>
          <w:rFonts w:ascii="Roboto" w:hAnsi="Roboto"/>
          <w:color w:val="000000" w:themeColor="text1"/>
          <w:sz w:val="24"/>
          <w:szCs w:val="24"/>
        </w:rPr>
        <w:t xml:space="preserve"> </w:t>
      </w:r>
      <w:r>
        <w:rPr>
          <w:rFonts w:ascii="Roboto" w:hAnsi="Roboto"/>
          <w:color w:val="000000" w:themeColor="text1"/>
          <w:sz w:val="24"/>
          <w:szCs w:val="24"/>
        </w:rPr>
        <w:t>gave reports</w:t>
      </w:r>
      <w:r w:rsidR="00607F1E">
        <w:rPr>
          <w:rFonts w:ascii="Roboto" w:hAnsi="Roboto"/>
          <w:color w:val="000000" w:themeColor="text1"/>
          <w:sz w:val="24"/>
          <w:szCs w:val="24"/>
        </w:rPr>
        <w:t>.</w:t>
      </w:r>
    </w:p>
    <w:p w14:paraId="2D63C924" w14:textId="3F50B898" w:rsidR="00AF3DE1" w:rsidRPr="00AF3DE1" w:rsidRDefault="00AF3DE1"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The meeting adjourned </w:t>
      </w:r>
      <w:r w:rsidR="00437F9E" w:rsidRPr="00DF43AF">
        <w:rPr>
          <w:rFonts w:ascii="Roboto" w:hAnsi="Roboto"/>
          <w:color w:val="000000" w:themeColor="text1"/>
          <w:sz w:val="24"/>
          <w:szCs w:val="24"/>
        </w:rPr>
        <w:t>at</w:t>
      </w:r>
      <w:r w:rsidR="00ED5A34" w:rsidRPr="00DF43AF">
        <w:rPr>
          <w:rFonts w:ascii="Roboto" w:hAnsi="Roboto"/>
          <w:color w:val="000000" w:themeColor="text1"/>
          <w:sz w:val="24"/>
          <w:szCs w:val="24"/>
        </w:rPr>
        <w:t xml:space="preserve"> </w:t>
      </w:r>
      <w:r w:rsidR="00FD5AF8" w:rsidRPr="00DF43AF">
        <w:rPr>
          <w:rFonts w:ascii="Roboto" w:hAnsi="Roboto"/>
          <w:color w:val="000000" w:themeColor="text1"/>
          <w:sz w:val="24"/>
          <w:szCs w:val="24"/>
        </w:rPr>
        <w:t>7:</w:t>
      </w:r>
      <w:r w:rsidR="00DF43AF" w:rsidRPr="00DF43AF">
        <w:rPr>
          <w:rFonts w:ascii="Roboto" w:hAnsi="Roboto"/>
          <w:color w:val="000000" w:themeColor="text1"/>
          <w:sz w:val="24"/>
          <w:szCs w:val="24"/>
        </w:rPr>
        <w:t>30</w:t>
      </w:r>
      <w:r w:rsidR="00FD5AF8">
        <w:rPr>
          <w:rFonts w:ascii="Roboto" w:hAnsi="Roboto"/>
          <w:color w:val="000000" w:themeColor="text1"/>
          <w:sz w:val="24"/>
          <w:szCs w:val="24"/>
        </w:rPr>
        <w:t xml:space="preserve"> PM.</w:t>
      </w:r>
    </w:p>
    <w:p w14:paraId="6463659E" w14:textId="61E5DDCB" w:rsidR="006B4DA1" w:rsidRDefault="006B4DA1">
      <w:pPr>
        <w:rPr>
          <w:rFonts w:ascii="Roboto" w:hAnsi="Roboto"/>
          <w:color w:val="000000" w:themeColor="text1"/>
          <w:sz w:val="24"/>
          <w:szCs w:val="24"/>
        </w:rPr>
      </w:pPr>
      <w:r>
        <w:rPr>
          <w:rFonts w:ascii="Roboto" w:hAnsi="Roboto"/>
          <w:color w:val="000000" w:themeColor="text1"/>
          <w:sz w:val="24"/>
          <w:szCs w:val="24"/>
        </w:rPr>
        <w:br w:type="page"/>
      </w:r>
    </w:p>
    <w:p w14:paraId="04DB81E2" w14:textId="6B25CB03" w:rsidR="00932E2E" w:rsidRPr="00932E2E" w:rsidRDefault="00932E2E" w:rsidP="00932E2E">
      <w:pPr>
        <w:jc w:val="center"/>
        <w:rPr>
          <w:rFonts w:ascii="Roboto" w:eastAsia="Roboto" w:hAnsi="Roboto" w:cs="Roboto"/>
          <w:b/>
          <w:sz w:val="24"/>
          <w:szCs w:val="24"/>
        </w:rPr>
      </w:pPr>
      <w:r w:rsidRPr="00932E2E">
        <w:rPr>
          <w:rFonts w:ascii="Roboto" w:eastAsia="Roboto" w:hAnsi="Roboto" w:cs="Roboto"/>
          <w:b/>
          <w:sz w:val="24"/>
          <w:szCs w:val="24"/>
        </w:rPr>
        <w:lastRenderedPageBreak/>
        <w:t>A Resolution to Support the Defend the Guard Act of 2025 - 2026</w:t>
      </w:r>
    </w:p>
    <w:p w14:paraId="02E6ACE8" w14:textId="626F7E03"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January 28, 2024, the Libertarian Party of Georgia adopted </w:t>
      </w:r>
      <w:r w:rsidRPr="00932E2E">
        <w:rPr>
          <w:rFonts w:ascii="Roboto" w:eastAsia="Roboto" w:hAnsi="Roboto" w:cs="Roboto"/>
          <w:i/>
          <w:sz w:val="24"/>
          <w:szCs w:val="24"/>
        </w:rPr>
        <w:t>A Resolution to Call for Defend the Guard Legislation</w:t>
      </w:r>
      <w:r w:rsidRPr="00932E2E">
        <w:rPr>
          <w:rFonts w:ascii="Roboto" w:eastAsia="Roboto" w:hAnsi="Roboto" w:cs="Roboto"/>
          <w:sz w:val="24"/>
          <w:szCs w:val="24"/>
        </w:rPr>
        <w:t xml:space="preserve"> at its regular annual convention; and,</w:t>
      </w:r>
    </w:p>
    <w:p w14:paraId="6E95B1E0" w14:textId="6A4230AC"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February 12, 2024, the Executive Committee of the Libertarian Party of Georgia adopted </w:t>
      </w:r>
      <w:r w:rsidRPr="00932E2E">
        <w:rPr>
          <w:rFonts w:ascii="Roboto" w:eastAsia="Roboto" w:hAnsi="Roboto" w:cs="Roboto"/>
          <w:i/>
          <w:sz w:val="24"/>
          <w:szCs w:val="24"/>
        </w:rPr>
        <w:t>A Resolution to Support the Defend the Guard Act</w:t>
      </w:r>
      <w:r w:rsidRPr="00932E2E">
        <w:rPr>
          <w:rFonts w:ascii="Roboto" w:eastAsia="Roboto" w:hAnsi="Roboto" w:cs="Roboto"/>
          <w:sz w:val="24"/>
          <w:szCs w:val="24"/>
        </w:rPr>
        <w:t>; and,</w:t>
      </w:r>
    </w:p>
    <w:p w14:paraId="4608BC24" w14:textId="085232CB"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March 28, 2024, the Georgia General Assembly adjourned sine die without passing the Defend the Guard Act; and,</w:t>
      </w:r>
    </w:p>
    <w:p w14:paraId="5C248E97" w14:textId="54735655"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July 31, 2024, two Georgia Army National Guard soldiers were killed while deployed overseas in Iraq; and,</w:t>
      </w:r>
    </w:p>
    <w:p w14:paraId="04BB76CD" w14:textId="67C3EABF"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September 24, 2024, Governor Brian Kemp issued Executive Order 09.24.24.01 declaring a State of Emergency due to Tropical Storm Helene in which five hundred Georgia National Guard troops were called up to State Active Duty; and,</w:t>
      </w:r>
    </w:p>
    <w:p w14:paraId="15AAAF7B" w14:textId="6211827E"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September 27, 2024, Governor Brian Kemp issued Executive Order 09.27.24.01 in which an additional one thousand Georgia National Guard troops were called up to State Active Duty in response to Tropical Storm Helene; and,</w:t>
      </w:r>
    </w:p>
    <w:p w14:paraId="2C444064" w14:textId="71825766"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September 30, 2024, Governor Brian Kemp issued Executive Order 09.30.24.01 in which an additional one thousand Georgia National Guard troops were called up to State Active Duty i</w:t>
      </w:r>
      <w:r>
        <w:rPr>
          <w:rFonts w:ascii="Roboto" w:eastAsia="Roboto" w:hAnsi="Roboto" w:cs="Roboto"/>
          <w:sz w:val="24"/>
          <w:szCs w:val="24"/>
        </w:rPr>
        <w:t>n</w:t>
      </w:r>
      <w:r w:rsidRPr="00932E2E">
        <w:rPr>
          <w:rFonts w:ascii="Roboto" w:eastAsia="Roboto" w:hAnsi="Roboto" w:cs="Roboto"/>
          <w:sz w:val="24"/>
          <w:szCs w:val="24"/>
        </w:rPr>
        <w:t xml:space="preserve"> response to Tropical Storm Helene; and,</w:t>
      </w:r>
    </w:p>
    <w:p w14:paraId="780FC0B7" w14:textId="305FD9D8"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these two thousand five hundred Georgia National Guard troops cleared roads, delivered supplies, operated distribution sites, facilitated communications, and provided other assistance during the State of Emergency; and,</w:t>
      </w:r>
    </w:p>
    <w:p w14:paraId="1E832152" w14:textId="6834FB9F"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Georgia National Guard troops who are in Georgia </w:t>
      </w:r>
      <w:proofErr w:type="gramStart"/>
      <w:r w:rsidRPr="00932E2E">
        <w:rPr>
          <w:rFonts w:ascii="Roboto" w:eastAsia="Roboto" w:hAnsi="Roboto" w:cs="Roboto"/>
          <w:sz w:val="24"/>
          <w:szCs w:val="24"/>
        </w:rPr>
        <w:t>are able to</w:t>
      </w:r>
      <w:proofErr w:type="gramEnd"/>
      <w:r w:rsidRPr="00932E2E">
        <w:rPr>
          <w:rFonts w:ascii="Roboto" w:eastAsia="Roboto" w:hAnsi="Roboto" w:cs="Roboto"/>
          <w:sz w:val="24"/>
          <w:szCs w:val="24"/>
        </w:rPr>
        <w:t xml:space="preserve"> offer assistance to their communities during emergencies while Georgia National Guard troops stationed overseas are not; and,</w:t>
      </w:r>
    </w:p>
    <w:p w14:paraId="0DC86055" w14:textId="53A5FFE4"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on January 30, 2025, Senate Bill 62, also known as the Defend the Guard Act, was introduced for the 2025 - 2026 biennium of the Georgia General Assembly; and,</w:t>
      </w:r>
    </w:p>
    <w:p w14:paraId="1D1CCE5C" w14:textId="2256B4B5" w:rsidR="00932E2E" w:rsidRPr="00932E2E" w:rsidRDefault="00932E2E" w:rsidP="00932E2E">
      <w:pPr>
        <w:rPr>
          <w:rFonts w:ascii="Roboto" w:eastAsia="Roboto" w:hAnsi="Roboto" w:cs="Roboto"/>
          <w:sz w:val="24"/>
          <w:szCs w:val="24"/>
        </w:rPr>
      </w:pPr>
      <w:r w:rsidRPr="00932E2E">
        <w:rPr>
          <w:rFonts w:ascii="Roboto" w:eastAsia="Roboto" w:hAnsi="Roboto" w:cs="Roboto"/>
          <w:i/>
          <w:sz w:val="24"/>
          <w:szCs w:val="24"/>
        </w:rPr>
        <w:t>Whereas</w:t>
      </w:r>
      <w:r w:rsidRPr="00932E2E">
        <w:rPr>
          <w:rFonts w:ascii="Roboto" w:eastAsia="Roboto" w:hAnsi="Roboto" w:cs="Roboto"/>
          <w:sz w:val="24"/>
          <w:szCs w:val="24"/>
        </w:rPr>
        <w:t xml:space="preserve"> the Defend the Guard Act as introduced would amend Title 38, Chapter 2 of the Official Code of Georgia Annotated to state that the Georgia National Guard and any member thereof shall not be released from the state into active duty combat or combat support operations unless the United States Congress has passed an official declaration of war or has taken an official action pursuant to Article I, Section 8, Clause 15 of the United States Constitution to explicitly call forth the Georgia National Guard and any member thereof for the enumerated purposes to expressly execute the laws of the union, repel an invasion, or suppress an insurrection;</w:t>
      </w:r>
    </w:p>
    <w:p w14:paraId="75256268" w14:textId="7AFFF2C4" w:rsidR="00932E2E" w:rsidRDefault="00932E2E" w:rsidP="00932E2E">
      <w:pPr>
        <w:rPr>
          <w:rFonts w:ascii="Roboto" w:eastAsia="Roboto" w:hAnsi="Roboto" w:cs="Roboto"/>
          <w:sz w:val="24"/>
          <w:szCs w:val="24"/>
        </w:rPr>
      </w:pPr>
      <w:r w:rsidRPr="00932E2E">
        <w:rPr>
          <w:rFonts w:ascii="Roboto" w:eastAsia="Roboto" w:hAnsi="Roboto" w:cs="Roboto"/>
          <w:i/>
          <w:sz w:val="24"/>
          <w:szCs w:val="24"/>
        </w:rPr>
        <w:lastRenderedPageBreak/>
        <w:t>Therefore, be it resolved</w:t>
      </w:r>
      <w:r w:rsidRPr="00932E2E">
        <w:rPr>
          <w:rFonts w:ascii="Roboto" w:eastAsia="Roboto" w:hAnsi="Roboto" w:cs="Roboto"/>
          <w:sz w:val="24"/>
          <w:szCs w:val="24"/>
        </w:rPr>
        <w:t>, that the Libertarian Party of Georgia supports the passage of the Defend the Guard Act during the 2025 - 2026 biennium of the Georgia General Assembly.</w:t>
      </w:r>
    </w:p>
    <w:p w14:paraId="31078963" w14:textId="5C19F701" w:rsidR="00932E2E" w:rsidRPr="00932E2E" w:rsidRDefault="00932E2E">
      <w:pPr>
        <w:rPr>
          <w:rFonts w:ascii="Roboto" w:eastAsia="Roboto" w:hAnsi="Roboto" w:cs="Roboto"/>
          <w:sz w:val="24"/>
          <w:szCs w:val="24"/>
        </w:rPr>
      </w:pPr>
      <w:r>
        <w:rPr>
          <w:rFonts w:ascii="Roboto" w:eastAsia="Roboto" w:hAnsi="Roboto" w:cs="Roboto"/>
          <w:sz w:val="24"/>
          <w:szCs w:val="24"/>
        </w:rPr>
        <w:br w:type="page"/>
      </w:r>
    </w:p>
    <w:p w14:paraId="4A7A9601" w14:textId="59FF4504" w:rsidR="002C16EE" w:rsidRDefault="006B4DA1" w:rsidP="006B4DA1">
      <w:pPr>
        <w:jc w:val="center"/>
        <w:rPr>
          <w:rFonts w:ascii="Roboto" w:hAnsi="Roboto"/>
          <w:b/>
          <w:bCs/>
          <w:color w:val="000000" w:themeColor="text1"/>
          <w:sz w:val="24"/>
          <w:szCs w:val="24"/>
        </w:rPr>
      </w:pPr>
      <w:r w:rsidRPr="006B4DA1">
        <w:rPr>
          <w:rFonts w:ascii="Roboto" w:hAnsi="Roboto"/>
          <w:b/>
          <w:bCs/>
          <w:color w:val="000000" w:themeColor="text1"/>
          <w:sz w:val="24"/>
          <w:szCs w:val="24"/>
        </w:rPr>
        <w:lastRenderedPageBreak/>
        <w:t>Secretary’s Report</w:t>
      </w:r>
    </w:p>
    <w:p w14:paraId="75A4B478" w14:textId="3B6543EE" w:rsidR="006B4DA1" w:rsidRPr="006B4DA1" w:rsidRDefault="006B4DA1" w:rsidP="006B4DA1">
      <w:pPr>
        <w:rPr>
          <w:rFonts w:ascii="Roboto" w:hAnsi="Roboto"/>
          <w:color w:val="000000" w:themeColor="text1"/>
          <w:sz w:val="24"/>
          <w:szCs w:val="24"/>
        </w:rPr>
      </w:pPr>
      <w:r w:rsidRPr="006B4DA1">
        <w:rPr>
          <w:rFonts w:ascii="Roboto" w:hAnsi="Roboto"/>
          <w:color w:val="000000" w:themeColor="text1"/>
          <w:sz w:val="24"/>
          <w:szCs w:val="24"/>
        </w:rPr>
        <w:t>Since the previous regular Executive Committee meeting, there was an e-ballot to fill the vacant Treasurer position. The e-ballot was opened on January 27, 2025</w:t>
      </w:r>
      <w:r>
        <w:rPr>
          <w:rFonts w:ascii="Roboto" w:hAnsi="Roboto"/>
          <w:color w:val="000000" w:themeColor="text1"/>
          <w:sz w:val="24"/>
          <w:szCs w:val="24"/>
        </w:rPr>
        <w:t>,</w:t>
      </w:r>
      <w:r w:rsidRPr="006B4DA1">
        <w:rPr>
          <w:rFonts w:ascii="Roboto" w:hAnsi="Roboto"/>
          <w:color w:val="000000" w:themeColor="text1"/>
          <w:sz w:val="24"/>
          <w:szCs w:val="24"/>
        </w:rPr>
        <w:t xml:space="preserve"> and closed February 3, 2025. All members cast ballots. Under Instant Runoff Voting, Mason Corey was elected in the first round with 12 votes. Kyle Davis received 6 votes and None </w:t>
      </w:r>
      <w:r w:rsidRPr="006B4DA1">
        <w:rPr>
          <w:rFonts w:ascii="Roboto" w:hAnsi="Roboto"/>
          <w:color w:val="000000" w:themeColor="text1"/>
          <w:sz w:val="24"/>
          <w:szCs w:val="24"/>
        </w:rPr>
        <w:t>of</w:t>
      </w:r>
      <w:r w:rsidRPr="006B4DA1">
        <w:rPr>
          <w:rFonts w:ascii="Roboto" w:hAnsi="Roboto"/>
          <w:color w:val="000000" w:themeColor="text1"/>
          <w:sz w:val="24"/>
          <w:szCs w:val="24"/>
        </w:rPr>
        <w:t xml:space="preserve"> </w:t>
      </w:r>
      <w:r>
        <w:rPr>
          <w:rFonts w:ascii="Roboto" w:hAnsi="Roboto"/>
          <w:color w:val="000000" w:themeColor="text1"/>
          <w:sz w:val="24"/>
          <w:szCs w:val="24"/>
        </w:rPr>
        <w:t>t</w:t>
      </w:r>
      <w:r w:rsidRPr="006B4DA1">
        <w:rPr>
          <w:rFonts w:ascii="Roboto" w:hAnsi="Roboto"/>
          <w:color w:val="000000" w:themeColor="text1"/>
          <w:sz w:val="24"/>
          <w:szCs w:val="24"/>
        </w:rPr>
        <w:t>he Above received 3 votes.</w:t>
      </w:r>
    </w:p>
    <w:sectPr w:rsidR="006B4DA1" w:rsidRPr="006B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653B7"/>
    <w:multiLevelType w:val="multilevel"/>
    <w:tmpl w:val="AE5C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C01BCA"/>
    <w:multiLevelType w:val="multilevel"/>
    <w:tmpl w:val="8064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822316">
    <w:abstractNumId w:val="0"/>
  </w:num>
  <w:num w:numId="2" w16cid:durableId="96064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E"/>
    <w:rsid w:val="00006BC3"/>
    <w:rsid w:val="0002123A"/>
    <w:rsid w:val="00047378"/>
    <w:rsid w:val="00095F8A"/>
    <w:rsid w:val="001308A0"/>
    <w:rsid w:val="001A69BD"/>
    <w:rsid w:val="001B0CEF"/>
    <w:rsid w:val="001D0F86"/>
    <w:rsid w:val="0021210B"/>
    <w:rsid w:val="00260166"/>
    <w:rsid w:val="00265A5D"/>
    <w:rsid w:val="002C16EE"/>
    <w:rsid w:val="0039590D"/>
    <w:rsid w:val="003A4E79"/>
    <w:rsid w:val="00437F9E"/>
    <w:rsid w:val="004A794D"/>
    <w:rsid w:val="004E3F14"/>
    <w:rsid w:val="005070DF"/>
    <w:rsid w:val="00545E17"/>
    <w:rsid w:val="00607F1E"/>
    <w:rsid w:val="00655548"/>
    <w:rsid w:val="00673E30"/>
    <w:rsid w:val="006B4DA1"/>
    <w:rsid w:val="007100C7"/>
    <w:rsid w:val="00713769"/>
    <w:rsid w:val="007C7F9B"/>
    <w:rsid w:val="007F1D74"/>
    <w:rsid w:val="0085052A"/>
    <w:rsid w:val="008B3F76"/>
    <w:rsid w:val="00932E2E"/>
    <w:rsid w:val="009F2B7E"/>
    <w:rsid w:val="00A928CF"/>
    <w:rsid w:val="00AB396C"/>
    <w:rsid w:val="00AB3B1F"/>
    <w:rsid w:val="00AF3DE1"/>
    <w:rsid w:val="00AF756A"/>
    <w:rsid w:val="00B04B63"/>
    <w:rsid w:val="00B401EF"/>
    <w:rsid w:val="00BA143E"/>
    <w:rsid w:val="00C3660B"/>
    <w:rsid w:val="00CE7BFE"/>
    <w:rsid w:val="00D11957"/>
    <w:rsid w:val="00D5266F"/>
    <w:rsid w:val="00D70C34"/>
    <w:rsid w:val="00D77B16"/>
    <w:rsid w:val="00DA56EF"/>
    <w:rsid w:val="00DF43AF"/>
    <w:rsid w:val="00E14437"/>
    <w:rsid w:val="00ED5A34"/>
    <w:rsid w:val="00F94273"/>
    <w:rsid w:val="00FD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0AC"/>
  <w15:chartTrackingRefBased/>
  <w15:docId w15:val="{8F49AA57-4A1B-4B3C-8804-CCCB6056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FE"/>
  </w:style>
  <w:style w:type="paragraph" w:styleId="Heading1">
    <w:name w:val="heading 1"/>
    <w:basedOn w:val="Normal"/>
    <w:next w:val="Normal"/>
    <w:link w:val="Heading1Char"/>
    <w:uiPriority w:val="9"/>
    <w:qFormat/>
    <w:rsid w:val="00CE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FE"/>
    <w:rPr>
      <w:rFonts w:eastAsiaTheme="majorEastAsia" w:cstheme="majorBidi"/>
      <w:color w:val="272727" w:themeColor="text1" w:themeTint="D8"/>
    </w:rPr>
  </w:style>
  <w:style w:type="paragraph" w:styleId="Title">
    <w:name w:val="Title"/>
    <w:basedOn w:val="Normal"/>
    <w:next w:val="Normal"/>
    <w:link w:val="TitleChar"/>
    <w:uiPriority w:val="10"/>
    <w:qFormat/>
    <w:rsid w:val="00CE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FE"/>
    <w:pPr>
      <w:spacing w:before="160"/>
      <w:jc w:val="center"/>
    </w:pPr>
    <w:rPr>
      <w:i/>
      <w:iCs/>
      <w:color w:val="404040" w:themeColor="text1" w:themeTint="BF"/>
    </w:rPr>
  </w:style>
  <w:style w:type="character" w:customStyle="1" w:styleId="QuoteChar">
    <w:name w:val="Quote Char"/>
    <w:basedOn w:val="DefaultParagraphFont"/>
    <w:link w:val="Quote"/>
    <w:uiPriority w:val="29"/>
    <w:rsid w:val="00CE7BFE"/>
    <w:rPr>
      <w:i/>
      <w:iCs/>
      <w:color w:val="404040" w:themeColor="text1" w:themeTint="BF"/>
    </w:rPr>
  </w:style>
  <w:style w:type="paragraph" w:styleId="ListParagraph">
    <w:name w:val="List Paragraph"/>
    <w:basedOn w:val="Normal"/>
    <w:uiPriority w:val="34"/>
    <w:qFormat/>
    <w:rsid w:val="00CE7BFE"/>
    <w:pPr>
      <w:ind w:left="720"/>
      <w:contextualSpacing/>
    </w:pPr>
  </w:style>
  <w:style w:type="character" w:styleId="IntenseEmphasis">
    <w:name w:val="Intense Emphasis"/>
    <w:basedOn w:val="DefaultParagraphFont"/>
    <w:uiPriority w:val="21"/>
    <w:qFormat/>
    <w:rsid w:val="00CE7BFE"/>
    <w:rPr>
      <w:i/>
      <w:iCs/>
      <w:color w:val="0F4761" w:themeColor="accent1" w:themeShade="BF"/>
    </w:rPr>
  </w:style>
  <w:style w:type="paragraph" w:styleId="IntenseQuote">
    <w:name w:val="Intense Quote"/>
    <w:basedOn w:val="Normal"/>
    <w:next w:val="Normal"/>
    <w:link w:val="IntenseQuoteChar"/>
    <w:uiPriority w:val="30"/>
    <w:qFormat/>
    <w:rsid w:val="00CE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FE"/>
    <w:rPr>
      <w:i/>
      <w:iCs/>
      <w:color w:val="0F4761" w:themeColor="accent1" w:themeShade="BF"/>
    </w:rPr>
  </w:style>
  <w:style w:type="character" w:styleId="IntenseReference">
    <w:name w:val="Intense Reference"/>
    <w:basedOn w:val="DefaultParagraphFont"/>
    <w:uiPriority w:val="32"/>
    <w:qFormat/>
    <w:rsid w:val="00CE7BFE"/>
    <w:rPr>
      <w:b/>
      <w:bCs/>
      <w:smallCaps/>
      <w:color w:val="0F4761" w:themeColor="accent1" w:themeShade="BF"/>
      <w:spacing w:val="5"/>
    </w:rPr>
  </w:style>
  <w:style w:type="character" w:styleId="Hyperlink">
    <w:name w:val="Hyperlink"/>
    <w:basedOn w:val="DefaultParagraphFont"/>
    <w:uiPriority w:val="99"/>
    <w:unhideWhenUsed/>
    <w:rsid w:val="0002123A"/>
    <w:rPr>
      <w:color w:val="467886" w:themeColor="hyperlink"/>
      <w:u w:val="single"/>
    </w:rPr>
  </w:style>
  <w:style w:type="character" w:styleId="Emphasis">
    <w:name w:val="Emphasis"/>
    <w:basedOn w:val="DefaultParagraphFont"/>
    <w:uiPriority w:val="20"/>
    <w:qFormat/>
    <w:rsid w:val="00D5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D48D-2C57-4466-84C2-A68F1E05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8</cp:revision>
  <dcterms:created xsi:type="dcterms:W3CDTF">2025-02-10T23:48:00Z</dcterms:created>
  <dcterms:modified xsi:type="dcterms:W3CDTF">2025-02-11T00:30:00Z</dcterms:modified>
</cp:coreProperties>
</file>